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1"/>
          <w:szCs w:val="31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1</w:t>
      </w:r>
    </w:p>
    <w:p>
      <w:pPr>
        <w:rPr>
          <w:rFonts w:hint="eastAsia"/>
          <w:b/>
          <w:bCs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中国国际大学生创新大赛(2024)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职教赛道方案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88" w:firstLineChars="200"/>
        <w:jc w:val="both"/>
        <w:textAlignment w:val="baseline"/>
        <w:rPr>
          <w:rFonts w:hint="eastAsia"/>
          <w:snapToGrid w:val="0"/>
          <w:color w:val="000000"/>
          <w:spacing w:val="17"/>
          <w:kern w:val="0"/>
          <w:position w:val="17"/>
          <w:sz w:val="31"/>
          <w:szCs w:val="31"/>
        </w:rPr>
      </w:pPr>
      <w:r>
        <w:rPr>
          <w:rFonts w:hint="eastAsia"/>
          <w:snapToGrid w:val="0"/>
          <w:color w:val="000000"/>
          <w:spacing w:val="17"/>
          <w:kern w:val="0"/>
          <w:position w:val="17"/>
          <w:sz w:val="31"/>
          <w:szCs w:val="31"/>
        </w:rPr>
        <w:t>中国国际大学生创新大赛(2024)设立职教赛道，推 进职业教育领域创新创业教育改革，培养技术赋能、跨界融合的新时代大国工匠。具体工作方案如下。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一 、参赛项目类型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(一)创新类：以技术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工艺或商业模式创新为核心优势；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(二)商业类：以商业运营潜力或实效为核心优势；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(三)工匠类：以体现敬业、精益、专注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创新为内涵的工匠精神为核心优势。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二、 参赛方式和要求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 一)职业学校(包括职业教育各层次学历教育，不含在职教育)、国家开放大学学生(仅限学历教育)可以报名参赛。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大赛以团队为单位报名参赛。允许跨校组建团队，每个团队的参赛成员不少于3人，不多于15人(含团队负责人),须为项目的实际核心成员。参赛团队所报参赛创业项目，须为本团队策划或经营的项目，不得借用他人项目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240" w:lineRule="auto"/>
        <w:ind w:firstLine="638" w:firstLineChars="200"/>
        <w:jc w:val="both"/>
        <w:textAlignment w:val="baseline"/>
        <w:outlineLvl w:val="6"/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4"/>
          <w:kern w:val="0"/>
          <w:sz w:val="31"/>
          <w:szCs w:val="31"/>
          <w:lang w:eastAsia="en-US"/>
        </w:rPr>
        <w:t>三、 参赛组别和对象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本赛道分为创意组与创业组。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zh-CN" w:bidi="ar-SA"/>
        </w:rPr>
        <w:t>一）</w:t>
      </w: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创意组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2.参赛申报人须为团队负责人，须为职业学校的全日制在校学生或国家开放大学学历教育在读学生。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3.学校科技成果转化项目不能参加本组比赛(科技成果的完成人、所有人中参赛申报人排名第一的除外)。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(二)创业组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1.参赛项目在大赛通知下发之日前已完成工商等各类登记注册。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2.参赛申报人须为企业法定代表人，须为职业学校全日制在校学生或毕业5年内的学生、国家开放大学学历教育在读学生或毕业5年内的学生。企业法人在大赛通知发布之日后进行变更的不予认可。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74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  <w:t>3.项目的股权结构中，企业法定代表人的股权不得少于10%,参赛团队成员股权合计不得少于1/3。</w:t>
      </w:r>
    </w:p>
    <w:p>
      <w:pPr>
        <w:rPr>
          <w:rFonts w:hint="eastAsia" w:ascii="仿宋" w:hAnsi="仿宋" w:eastAsia="仿宋" w:cs="仿宋"/>
          <w:snapToGrid w:val="0"/>
          <w:color w:val="000000"/>
          <w:spacing w:val="31"/>
          <w:kern w:val="0"/>
          <w:sz w:val="31"/>
          <w:szCs w:val="31"/>
          <w:lang w:val="en-US" w:eastAsia="en-US" w:bidi="ar-S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5E6B6A5B"/>
    <w:rsid w:val="4B603035"/>
    <w:rsid w:val="4E2A7F13"/>
    <w:rsid w:val="4F5F73E0"/>
    <w:rsid w:val="5E6B6A5B"/>
    <w:rsid w:val="6ADD0B5E"/>
    <w:rsid w:val="6EE269FF"/>
    <w:rsid w:val="74DD4F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