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7CFD3">
      <w:pPr>
        <w:widowControl/>
        <w:spacing w:line="360" w:lineRule="auto"/>
        <w:jc w:val="center"/>
        <w:rPr>
          <w:rFonts w:hint="eastAsia" w:ascii="方正小标宋简体" w:hAnsi="方正小标宋简体" w:eastAsia="方正小标宋简体" w:cs="方正小标宋简体"/>
          <w:bCs/>
          <w:color w:val="auto"/>
          <w:sz w:val="36"/>
          <w:szCs w:val="36"/>
          <w:highlight w:val="none"/>
        </w:rPr>
      </w:pPr>
      <w:r>
        <w:rPr>
          <w:rFonts w:hint="eastAsia" w:ascii="方正小标宋简体" w:hAnsi="方正小标宋简体" w:eastAsia="方正小标宋简体" w:cs="方正小标宋简体"/>
          <w:bCs/>
          <w:color w:val="auto"/>
          <w:sz w:val="36"/>
          <w:szCs w:val="36"/>
          <w:highlight w:val="none"/>
        </w:rPr>
        <w:t>2026年全国教育科学规划</w:t>
      </w:r>
    </w:p>
    <w:p w14:paraId="4D61D6B2">
      <w:pPr>
        <w:widowControl/>
        <w:spacing w:line="360" w:lineRule="auto"/>
        <w:jc w:val="center"/>
        <w:rPr>
          <w:rFonts w:hint="eastAsia" w:ascii="方正小标宋简体" w:hAnsi="方正小标宋简体" w:eastAsia="方正小标宋简体" w:cs="方正小标宋简体"/>
          <w:bCs/>
          <w:color w:val="auto"/>
          <w:sz w:val="36"/>
          <w:szCs w:val="36"/>
          <w:highlight w:val="none"/>
        </w:rPr>
      </w:pPr>
      <w:r>
        <w:rPr>
          <w:rFonts w:hint="eastAsia" w:ascii="方正小标宋简体" w:hAnsi="方正小标宋简体" w:eastAsia="方正小标宋简体" w:cs="方正小标宋简体"/>
          <w:bCs/>
          <w:color w:val="auto"/>
          <w:sz w:val="36"/>
          <w:szCs w:val="36"/>
          <w:highlight w:val="none"/>
        </w:rPr>
        <w:t>学生发展研究专项指南</w:t>
      </w:r>
    </w:p>
    <w:p w14:paraId="242005D2">
      <w:pPr>
        <w:widowControl/>
        <w:spacing w:line="360" w:lineRule="auto"/>
        <w:rPr>
          <w:rFonts w:hint="eastAsia" w:ascii="方正小标宋简体" w:hAnsi="方正小标宋简体" w:eastAsia="方正小标宋简体" w:cs="方正小标宋简体"/>
          <w:bCs/>
          <w:color w:val="auto"/>
          <w:sz w:val="36"/>
          <w:szCs w:val="36"/>
          <w:highlight w:val="none"/>
        </w:rPr>
      </w:pPr>
    </w:p>
    <w:p w14:paraId="48848BA2">
      <w:pPr>
        <w:spacing w:line="360" w:lineRule="auto"/>
        <w:ind w:firstLine="640" w:firstLineChars="200"/>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学生发展研究专项包括</w:t>
      </w:r>
      <w:r>
        <w:rPr>
          <w:rFonts w:hint="eastAsia" w:ascii="Times New Roman" w:hAnsi="Times New Roman" w:eastAsia="仿宋_GB2312" w:cs="Times New Roman"/>
          <w:color w:val="auto"/>
          <w:sz w:val="32"/>
          <w:szCs w:val="32"/>
          <w:highlight w:val="none"/>
        </w:rPr>
        <w:t>重大、</w:t>
      </w:r>
      <w:r>
        <w:rPr>
          <w:rFonts w:ascii="Times New Roman" w:hAnsi="Times New Roman" w:eastAsia="仿宋_GB2312" w:cs="Times New Roman"/>
          <w:color w:val="auto"/>
          <w:sz w:val="32"/>
          <w:szCs w:val="32"/>
          <w:highlight w:val="none"/>
        </w:rPr>
        <w:t>重点和一般项目。申报专项须从指南中选题，并按照指南意图进行研究设计。自拟选题不予受理。原则上每个选题只确立1个立项项目。重大、重点项目研究期限为2年，一般项目研究期限为1年，不得延期。</w:t>
      </w:r>
    </w:p>
    <w:p w14:paraId="06847CB3">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1.高等教育数据资源运营机制和路径研究（重大）</w:t>
      </w:r>
    </w:p>
    <w:p w14:paraId="72631F96">
      <w:pPr>
        <w:widowControl/>
        <w:numPr>
          <w:ilvl w:val="255"/>
          <w:numId w:val="0"/>
        </w:numPr>
        <w:spacing w:line="360" w:lineRule="auto"/>
        <w:ind w:firstLine="64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对高等教育相关领域数据的现状开展调研；（2）研究符合高等教育数据资源特征的、分层分类的价格机制，探索其成本构成和动态变化特征及关键驱动因素；（3）研究高等教育数据资源多元的市场需求与发展趋势、当前教育数据资源开发利用面临的困境等；（4）研究高等教育相关数据资源运营的案例经验、以及其对相关数据资源从政府引导到市场主导的运营价格机制的启示</w:t>
      </w:r>
      <w:r>
        <w:rPr>
          <w:rFonts w:hint="eastAsia" w:ascii="仿宋_GB2312" w:hAnsi="仿宋_GB2312" w:eastAsia="仿宋_GB2312" w:cs="仿宋_GB2312"/>
          <w:color w:val="auto"/>
          <w:sz w:val="32"/>
          <w:szCs w:val="32"/>
          <w:highlight w:val="none"/>
          <w:lang w:bidi="ar"/>
        </w:rPr>
        <w:t>；（5）基于“特性分析—现状诊断—成本收益解构—市场研判—机制设计—路径规划”逻辑链条研究短期、中期和长期的完整运营体系、实现路径和制度保障。</w:t>
      </w:r>
    </w:p>
    <w:p w14:paraId="1C01E3A7">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2.促进高校毕业生高质量充分就业的就业创业政策研究（重点）</w:t>
      </w:r>
    </w:p>
    <w:p w14:paraId="7BDBE9CA">
      <w:pPr>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分析高校毕业生就业创业政策的实施现状、成效与问题；（2）研究高校毕业生就业创业政策演变历程及实施效果评估方法；（3）研究基层就业、灵活就业、创业扶持等重点领域政策优化路径；（4）研究数字经济、乡村振兴等新领域就业潜力挖掘与拓展机制；（5）研究政企校协同育人、协同就业、协同服务的创新机制。</w:t>
      </w:r>
    </w:p>
    <w:p w14:paraId="44DE3FDF">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3.“以学生为中心”的学生全面发展服务支持体系研究（重点）</w:t>
      </w:r>
    </w:p>
    <w:p w14:paraId="543859AD">
      <w:pPr>
        <w:widowControl/>
        <w:numPr>
          <w:ilvl w:val="255"/>
          <w:numId w:val="0"/>
        </w:numPr>
        <w:spacing w:line="360" w:lineRule="auto"/>
        <w:ind w:firstLine="640" w:firstLineChars="200"/>
        <w:jc w:val="left"/>
        <w:rPr>
          <w:rStyle w:val="7"/>
          <w:rFonts w:hint="eastAsia" w:ascii="仿宋_GB2312" w:hAnsi="仿宋_GB2312" w:eastAsia="仿宋_GB2312" w:cs="仿宋_GB2312"/>
          <w:bCs/>
          <w:color w:val="auto"/>
          <w:sz w:val="32"/>
          <w:szCs w:val="32"/>
          <w:highlight w:val="none"/>
          <w:shd w:val="clear" w:color="auto" w:fill="FFFFFF"/>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系统阐释新时代“以学生为中心”的概念、内涵、特征；（2）分析“以学生为中心”的大中小学生全面发展服务支持体系的构成要素；（3）探究大中小学生全面发展的协同促进机制；（4）重点从学习、素质发展、服务、资源、保障支持等维度，探索构建“以学生为中心”的系统实施方案和实践路径。</w:t>
      </w:r>
    </w:p>
    <w:p w14:paraId="0FEFE208">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4.“投资于人”战略视角下高等教育人才供需适配理论与实践研究（一般）</w:t>
      </w:r>
    </w:p>
    <w:p w14:paraId="47B3A996">
      <w:pPr>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（1）基于宏观数据与调研，</w:t>
      </w:r>
      <w:r>
        <w:rPr>
          <w:rFonts w:hint="eastAsia" w:ascii="仿宋_GB2312" w:hAnsi="仿宋_GB2312" w:eastAsia="仿宋_GB2312" w:cs="仿宋_GB2312"/>
          <w:color w:val="auto"/>
          <w:sz w:val="32"/>
          <w:szCs w:val="32"/>
          <w:highlight w:val="none"/>
          <w:lang w:bidi="ar"/>
        </w:rPr>
        <w:t>分析我国人才供需</w:t>
      </w:r>
      <w:r>
        <w:rPr>
          <w:rFonts w:hint="eastAsia" w:ascii="仿宋_GB2312" w:hAnsi="仿宋_GB2312" w:eastAsia="仿宋_GB2312" w:cs="仿宋_GB2312"/>
          <w:color w:val="auto"/>
          <w:sz w:val="32"/>
          <w:szCs w:val="32"/>
          <w:highlight w:val="none"/>
          <w:lang w:val="en-US" w:eastAsia="zh-CN" w:bidi="ar"/>
        </w:rPr>
        <w:t>适配</w:t>
      </w:r>
      <w:r>
        <w:rPr>
          <w:rFonts w:hint="eastAsia" w:ascii="仿宋_GB2312" w:hAnsi="仿宋_GB2312" w:eastAsia="仿宋_GB2312" w:cs="仿宋_GB2312"/>
          <w:color w:val="auto"/>
          <w:sz w:val="32"/>
          <w:szCs w:val="32"/>
          <w:highlight w:val="none"/>
          <w:lang w:bidi="ar"/>
        </w:rPr>
        <w:t>的现状及影响</w:t>
      </w:r>
      <w:r>
        <w:rPr>
          <w:rFonts w:hint="eastAsia" w:ascii="仿宋_GB2312" w:hAnsi="仿宋_GB2312" w:eastAsia="仿宋_GB2312" w:cs="仿宋_GB2312"/>
          <w:color w:val="auto"/>
          <w:sz w:val="32"/>
          <w:szCs w:val="32"/>
          <w:highlight w:val="none"/>
          <w:lang w:bidi="ar"/>
        </w:rPr>
        <w:t>；（2）识别并分析制约人才供需高水平动态平衡的多维因素；（3）落实“投资于人”战略，构建“政校企生”多维视角理论模型；（4）提出政策制定、高校</w:t>
      </w:r>
      <w:r>
        <w:rPr>
          <w:rFonts w:hint="eastAsia" w:ascii="仿宋_GB2312" w:hAnsi="仿宋_GB2312" w:eastAsia="仿宋_GB2312" w:cs="仿宋_GB2312"/>
          <w:color w:val="auto"/>
          <w:sz w:val="32"/>
          <w:szCs w:val="32"/>
          <w:highlight w:val="none"/>
        </w:rPr>
        <w:t>改革等实践路径。</w:t>
      </w:r>
    </w:p>
    <w:p w14:paraId="245408A6">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5.以美育促进小学生心理健康的课程开发与实施路径研究（一般）</w:t>
      </w:r>
    </w:p>
    <w:p w14:paraId="6EB72C82">
      <w:pPr>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（1）深入研究美育与心理健康教育融合的理论基础，构建符合儿童发展规律的</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美术-心理</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双维课程模型，明确课程目标与内容框架；（2）系统开发适用于小学的</w:t>
      </w:r>
      <w:r>
        <w:rPr>
          <w:rFonts w:hint="eastAsia" w:ascii="仿宋_GB2312" w:hAnsi="仿宋_GB2312" w:eastAsia="仿宋_GB2312" w:cs="仿宋_GB2312"/>
          <w:color w:val="auto"/>
          <w:sz w:val="32"/>
          <w:szCs w:val="32"/>
          <w:highlight w:val="none"/>
          <w:lang w:bidi="ar"/>
        </w:rPr>
        <w:t>表达性艺术治疗</w:t>
      </w:r>
      <w:r>
        <w:rPr>
          <w:rFonts w:hint="eastAsia" w:ascii="仿宋_GB2312" w:hAnsi="仿宋_GB2312" w:eastAsia="仿宋_GB2312" w:cs="仿宋_GB2312"/>
          <w:color w:val="auto"/>
          <w:sz w:val="32"/>
          <w:szCs w:val="32"/>
          <w:highlight w:val="none"/>
          <w:lang w:bidi="ar"/>
        </w:rPr>
        <w:t>活动资源包，包括课程教案、教学素材、评估工具及配套的师资培训方案，形成完整的教学支持体系；（3）建立科学有效的课程评价机制，研发涵盖创造力发展、情绪调节能力等方面的简单有效、适合小学生的心理健康评估工具；（4）探索可复制、可推广的区域实施路径，形成从课程开发、师资培训、教学实施到效果评估的一体化实施方案，为学校教育实践提供参考。</w:t>
      </w:r>
    </w:p>
    <w:p w14:paraId="212AD4B2">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6.数智环境下体系化协同教学推进学生素质发展研究（一般）</w:t>
      </w:r>
    </w:p>
    <w:p w14:paraId="3C268360">
      <w:pPr>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跨地域名师群体群智协同模式研究；（2）名师引领下基于设计行动研究模式研究；（3）乡村教师素养育人专业实践能力发展成效研究；（4）大规模教师群智协同下学生素养发展效果研究。最终形成体系化协同教学新范式。</w:t>
      </w:r>
    </w:p>
    <w:p w14:paraId="53EB2FC3">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7.人才培养供需适配机制改革评价指标体系与监测系统构建研究（一般）</w:t>
      </w:r>
    </w:p>
    <w:p w14:paraId="56AF39DD">
      <w:pPr>
        <w:widowControl/>
        <w:numPr>
          <w:ilvl w:val="255"/>
          <w:numId w:val="0"/>
        </w:numPr>
        <w:spacing w:line="360" w:lineRule="auto"/>
        <w:ind w:firstLine="640"/>
        <w:jc w:val="left"/>
        <w:rPr>
          <w:rStyle w:val="7"/>
          <w:rFonts w:hint="eastAsia" w:ascii="仿宋_GB2312" w:hAnsi="仿宋_GB2312" w:eastAsia="仿宋_GB2312" w:cs="仿宋_GB2312"/>
          <w:bCs/>
          <w:color w:val="auto"/>
          <w:sz w:val="32"/>
          <w:szCs w:val="32"/>
          <w:highlight w:val="none"/>
          <w:shd w:val="clear" w:color="auto" w:fill="FFFFFF"/>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依托省域或区域高等教育人才供需数据，梳理供需适配机制改革试点现状与问题；（2）构建科学可操作的多维度多层级改革评价指标体系，涵盖供给侧（高校学科专业、培养方案等）与需求侧（产业岗位、技能要求等）；（3）融合大数据技术，设计智能监测系统架构、功能模块，实现数据归集、动态监测与结果反馈，做到评价指标可量化、监测过程可追溯、改革成效可评估；（4）</w:t>
      </w:r>
      <w:r>
        <w:rPr>
          <w:rFonts w:hint="eastAsia" w:ascii="仿宋_GB2312" w:hAnsi="仿宋_GB2312" w:eastAsia="仿宋_GB2312" w:cs="仿宋_GB2312"/>
          <w:color w:val="auto"/>
          <w:sz w:val="32"/>
          <w:szCs w:val="32"/>
          <w:highlight w:val="none"/>
        </w:rPr>
        <w:t>提出监测结果与招生计划、培养方案、高质量就业的联动政策建议。</w:t>
      </w:r>
    </w:p>
    <w:p w14:paraId="1B3E90C0">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8.高校“招生-培养-就业”联动机制研究（一般）</w:t>
      </w:r>
    </w:p>
    <w:p w14:paraId="1415283C">
      <w:pPr>
        <w:widowControl/>
        <w:numPr>
          <w:ilvl w:val="255"/>
          <w:numId w:val="0"/>
        </w:numPr>
        <w:spacing w:line="360" w:lineRule="auto"/>
        <w:ind w:firstLine="640"/>
        <w:jc w:val="left"/>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rPr>
        <w:t>（1）研究高校招生、培养、就业政策的制定依据和影响因素；（2）分析人才培养环节的目标差异和结构特点；（3）研究高校内部招生、培养、就业部门之间的协作方式和沟通机制；（4）研究政府、社会机构在推动高校“招生-培养-就业”联动机制中的作用和方式；（5）构建适应我国高校人才培养模式的“招生-培养-就业”全链条协同机制。</w:t>
      </w:r>
    </w:p>
    <w:p w14:paraId="57339A29">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9.高中生涯教育实践模式与成效评价研究（一般）</w:t>
      </w:r>
    </w:p>
    <w:p w14:paraId="2280DE41">
      <w:pPr>
        <w:spacing w:line="360" w:lineRule="auto"/>
        <w:ind w:firstLine="640" w:firstLineChars="200"/>
        <w:jc w:val="left"/>
        <w:rPr>
          <w:rFonts w:hint="eastAsia"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rPr>
        <w:t>（1）探索符合学生需求的高中生涯教育实践模式，为学校提供实践指南，提升生涯教育的针对性与实效性；（2）结合实践模式，提出高中生涯教育成效评价指标和方法；（3）研发培训课程体系，为高中教师提升生涯教育专业能力和水平提供支撑。</w:t>
      </w:r>
    </w:p>
    <w:p w14:paraId="05664968">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10.高校生涯教育与就业指导课程创新实践研究（一般）</w:t>
      </w:r>
    </w:p>
    <w:p w14:paraId="4E868E1C">
      <w:pPr>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rPr>
        <w:t>（1）探索具有时代特征、适应中国国情和文化的生涯教育与就业指导课程内容体系；（2）以就业育人为导向，基于校情、学情探索校本化课程实践路径；（3）构建多形式、多维度、体现生涯教育特色的课程成效评价体系。</w:t>
      </w:r>
    </w:p>
    <w:p w14:paraId="11B36AFF">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11.高等教育人才供需适配评价研究（一般）</w:t>
      </w:r>
    </w:p>
    <w:p w14:paraId="61BE20E1">
      <w:pPr>
        <w:numPr>
          <w:ilvl w:val="255"/>
          <w:numId w:val="0"/>
        </w:numPr>
        <w:spacing w:line="360" w:lineRule="auto"/>
        <w:ind w:firstLine="643"/>
        <w:jc w:val="left"/>
        <w:rPr>
          <w:color w:val="auto"/>
          <w:highlight w:val="none"/>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rPr>
        <w:t>（1）研究高等教育人才供给与经济社会发展需求适配的核心内涵、本质特征及影响机理，构建中国特色高等教育人才供需适配评价理论框架，重点基于就业视角深入分析；（2）研究编制省域、高校人才供需适配评价指标体系，选取不少于2个省份开展省域人才供需适配分析，选取不少于4所不同类型高校开展校级人才供需适配分析；（3）提出高等教育人才供需适配优化策略与政策建议，为国家人才供需对接大数据平台建设提供核心支撑。</w:t>
      </w:r>
    </w:p>
    <w:p w14:paraId="0C7B2F34">
      <w:pPr>
        <w:rPr>
          <w:color w:val="auto"/>
          <w:highlight w:val="none"/>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5C5B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E96D8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BE96D8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521F3"/>
    <w:rsid w:val="029167E5"/>
    <w:rsid w:val="04D31D7F"/>
    <w:rsid w:val="1A535957"/>
    <w:rsid w:val="4AC512EA"/>
    <w:rsid w:val="52102850"/>
    <w:rsid w:val="53F521F3"/>
    <w:rsid w:val="5D7455F2"/>
    <w:rsid w:val="7A707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line="578" w:lineRule="exact"/>
      <w:ind w:firstLine="880" w:firstLineChars="200"/>
      <w:outlineLvl w:val="1"/>
    </w:pPr>
    <w:rPr>
      <w:rFonts w:ascii="Arial" w:hAnsi="Arial" w:eastAsia="黑体"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